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3" w:rsidRDefault="00373C33" w:rsidP="00373C33">
      <w:pPr>
        <w:widowControl/>
        <w:spacing w:line="620" w:lineRule="exact"/>
        <w:jc w:val="left"/>
        <w:rPr>
          <w:rFonts w:ascii="黑体" w:eastAsia="黑体" w:hint="eastAsia"/>
          <w:kern w:val="0"/>
          <w:sz w:val="32"/>
          <w:szCs w:val="32"/>
        </w:rPr>
      </w:pPr>
      <w:r w:rsidRPr="007604F3">
        <w:rPr>
          <w:rFonts w:ascii="黑体" w:eastAsia="黑体" w:hint="eastAsia"/>
          <w:kern w:val="0"/>
          <w:sz w:val="32"/>
          <w:szCs w:val="32"/>
        </w:rPr>
        <w:t>附件</w:t>
      </w:r>
    </w:p>
    <w:p w:rsidR="00373C33" w:rsidRDefault="00373C33" w:rsidP="00373C33">
      <w:pPr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DD286B">
        <w:rPr>
          <w:rFonts w:ascii="方正小标宋简体" w:eastAsia="方正小标宋简体" w:hint="eastAsia"/>
          <w:sz w:val="44"/>
          <w:szCs w:val="44"/>
        </w:rPr>
        <w:t>加强基层党组织建设</w:t>
      </w:r>
      <w:r w:rsidRPr="00B234BD">
        <w:rPr>
          <w:rFonts w:ascii="方正小标宋简体" w:eastAsia="方正小标宋简体" w:hint="eastAsia"/>
          <w:sz w:val="44"/>
          <w:szCs w:val="44"/>
        </w:rPr>
        <w:t>专题网络培训</w:t>
      </w:r>
    </w:p>
    <w:p w:rsidR="00373C33" w:rsidRDefault="00373C33" w:rsidP="00373C33">
      <w:pPr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B234BD">
        <w:rPr>
          <w:rFonts w:ascii="方正小标宋简体" w:eastAsia="方正小标宋简体" w:hint="eastAsia"/>
          <w:sz w:val="44"/>
          <w:szCs w:val="44"/>
        </w:rPr>
        <w:t>课程表</w:t>
      </w:r>
    </w:p>
    <w:p w:rsidR="00373C33" w:rsidRPr="00F37C2E" w:rsidRDefault="00373C33" w:rsidP="00373C33">
      <w:pPr>
        <w:ind w:firstLineChars="200" w:firstLine="880"/>
        <w:jc w:val="center"/>
        <w:rPr>
          <w:rFonts w:ascii="黑体" w:eastAsia="黑体" w:hint="eastAsia"/>
          <w:sz w:val="44"/>
          <w:szCs w:val="44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1275"/>
        <w:gridCol w:w="3408"/>
        <w:gridCol w:w="939"/>
        <w:gridCol w:w="2936"/>
      </w:tblGrid>
      <w:tr w:rsidR="00373C33" w:rsidRPr="00F37C2E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黑体" w:eastAsia="黑体" w:hAnsi="仿宋" w:hint="eastAsia"/>
                <w:bCs/>
                <w:sz w:val="24"/>
                <w:szCs w:val="24"/>
              </w:rPr>
            </w:pPr>
            <w:r w:rsidRPr="00F37C2E">
              <w:rPr>
                <w:rFonts w:ascii="黑体" w:eastAsia="黑体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373C33" w:rsidRPr="00F37C2E" w:rsidRDefault="00373C33" w:rsidP="008C42EB">
            <w:pPr>
              <w:jc w:val="center"/>
              <w:rPr>
                <w:rFonts w:ascii="黑体" w:eastAsia="黑体" w:hAnsi="仿宋" w:hint="eastAsia"/>
                <w:bCs/>
                <w:sz w:val="24"/>
                <w:szCs w:val="24"/>
              </w:rPr>
            </w:pPr>
            <w:r w:rsidRPr="00F37C2E">
              <w:rPr>
                <w:rFonts w:ascii="黑体" w:eastAsia="黑体" w:hAnsi="仿宋" w:hint="eastAsia"/>
                <w:bCs/>
                <w:sz w:val="24"/>
                <w:szCs w:val="24"/>
              </w:rPr>
              <w:t>课程模块</w:t>
            </w: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黑体" w:eastAsia="黑体" w:hAnsi="仿宋" w:hint="eastAsia"/>
                <w:bCs/>
                <w:sz w:val="24"/>
                <w:szCs w:val="24"/>
              </w:rPr>
            </w:pPr>
            <w:r w:rsidRPr="00F37C2E">
              <w:rPr>
                <w:rFonts w:ascii="黑体" w:eastAsia="黑体" w:hAnsi="仿宋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黑体" w:eastAsia="黑体" w:hAnsi="仿宋" w:hint="eastAsia"/>
                <w:bCs/>
                <w:sz w:val="24"/>
                <w:szCs w:val="24"/>
              </w:rPr>
            </w:pPr>
            <w:r w:rsidRPr="00F37C2E">
              <w:rPr>
                <w:rFonts w:ascii="黑体" w:eastAsia="黑体" w:hAnsi="仿宋" w:hint="eastAsia"/>
                <w:bCs/>
                <w:sz w:val="24"/>
                <w:szCs w:val="24"/>
              </w:rPr>
              <w:t>主讲人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黑体" w:eastAsia="黑体" w:hAnsi="仿宋" w:hint="eastAsia"/>
                <w:bCs/>
                <w:sz w:val="24"/>
                <w:szCs w:val="24"/>
              </w:rPr>
            </w:pPr>
            <w:r w:rsidRPr="00F37C2E">
              <w:rPr>
                <w:rFonts w:ascii="黑体" w:eastAsia="黑体" w:hAnsi="仿宋" w:hint="eastAsia"/>
                <w:bCs/>
                <w:sz w:val="24"/>
                <w:szCs w:val="24"/>
              </w:rPr>
              <w:t>单位与职务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坚持从严治党</w:t>
            </w: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服务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“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四个全面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”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战略布局 加快推进教育现代化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袁贵仁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教育部部长、党组书记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加强高校党风廉政建设和反腐败工作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王立英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中纪委驻教育部纪检组</w:t>
            </w:r>
          </w:p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组长、党组成员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关于高校意识形态工作的几个问题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王炳林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教育部高等学校社会科学发展研究中心主任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加强党员干部党性修养 自觉践行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“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三严三实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”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洪向华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中共中央党校教授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党中央培育和践行社会主义核心价值观的表率作用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张  峰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中央社会主义学院教授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群众路线与调查研究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罗平汉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中共中央</w:t>
            </w: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党校教授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关键在党 关键在人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——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学习习近平关于党的建设的重要论述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刘　峰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国家行政学院教授</w:t>
            </w:r>
          </w:p>
        </w:tc>
      </w:tr>
      <w:tr w:rsidR="00373C33" w:rsidRPr="005578FD" w:rsidTr="008C42EB">
        <w:trPr>
          <w:trHeight w:val="563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深化高等教育综合改革</w:t>
            </w: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以立德树人为根本使命，全面推动高等教育内涵式发展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杜玉波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教育部副部长、党组副书记</w:t>
            </w:r>
          </w:p>
        </w:tc>
      </w:tr>
      <w:tr w:rsidR="00373C33" w:rsidRPr="005578FD" w:rsidTr="008C42EB">
        <w:trPr>
          <w:trHeight w:val="563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深入贯彻落实四中全会精神 全面推进依法治教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孙霄兵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教育部政策法规司司长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高等教育发展的区域统筹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沈  健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江苏省教育厅厅长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“十三五”期间高等教育发展形势与政策要点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张  力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教育部教育发展研究中心主任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关于建立和完善中国特色现代大学制度建设的思考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顾海良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全国人大教科文卫委员会委员</w:t>
            </w:r>
          </w:p>
        </w:tc>
      </w:tr>
      <w:tr w:rsidR="00373C33" w:rsidRPr="005578FD" w:rsidTr="008C42EB">
        <w:trPr>
          <w:trHeight w:val="453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教育信息化发展趋势及我国教育信息化战略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杨宗凯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华中师范大学校长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提高党务</w:t>
            </w: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lastRenderedPageBreak/>
              <w:t>工作能力</w:t>
            </w: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提高党务工作能力</w:t>
            </w: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lastRenderedPageBreak/>
              <w:t>落实《中国共产党普通高等学校基层组织工作条例》加强高校基层党组织建设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张  钧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山西大学法学院党委书记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《中国共产党发展党员工作细则》解读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孙  林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中共中央党校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按照十八大新党章的要求抓好基层党组织的建设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王懂棋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中共中央党校教授</w:t>
            </w:r>
          </w:p>
        </w:tc>
      </w:tr>
      <w:tr w:rsidR="00373C33" w:rsidRPr="005578FD" w:rsidTr="008C42EB">
        <w:trPr>
          <w:trHeight w:val="784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新形势下党的基层组织建设的主要任务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薛鑫良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中共</w:t>
            </w: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中央党校机关原党委副书记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加强高校院（系）级单位党组织建设，提高院（系）级单位党建科学化水平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张爱淑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中国矿业大学原党委</w:t>
            </w:r>
          </w:p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副书记、纪委书记</w:t>
            </w:r>
          </w:p>
        </w:tc>
      </w:tr>
      <w:tr w:rsidR="00373C33" w:rsidRPr="005578FD" w:rsidTr="008C42EB">
        <w:trPr>
          <w:trHeight w:val="421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做学习型、服务型、创新型党支部书记  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曹鹏飞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中共中央党校教授</w:t>
            </w:r>
          </w:p>
        </w:tc>
      </w:tr>
      <w:tr w:rsidR="00373C33" w:rsidRPr="005578FD" w:rsidTr="008C42EB">
        <w:trPr>
          <w:trHeight w:val="563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宣传思想工作的基本经验与创新指向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李俊伟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中共中央党校</w:t>
            </w: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教授</w:t>
            </w:r>
          </w:p>
        </w:tc>
      </w:tr>
      <w:tr w:rsidR="00373C33" w:rsidRPr="005578FD" w:rsidTr="008C42EB">
        <w:trPr>
          <w:trHeight w:val="563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高校青年教师思想政治工作的创新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李铁铮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北京林业大学党委</w:t>
            </w:r>
          </w:p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宣传部部长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373C33" w:rsidRPr="00F37C2E" w:rsidRDefault="00373C33" w:rsidP="008C42EB">
            <w:pPr>
              <w:ind w:firstLineChars="100" w:firstLine="240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探索</w:t>
            </w:r>
          </w:p>
          <w:p w:rsidR="00373C33" w:rsidRPr="00F37C2E" w:rsidRDefault="00373C33" w:rsidP="008C42EB">
            <w:pPr>
              <w:ind w:firstLineChars="50" w:firstLine="120"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与实践</w:t>
            </w: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加强和改进高校党支部建设，充分发挥党支部推进高校改革发展的战斗堡垒作用——基于中国矿业大学党支部工作案例的分析与思考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蔡世华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中国矿业大学党委副书记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高校网络思想政治教育的认识与实践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刘  波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东南大学党委副书记</w:t>
            </w:r>
          </w:p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副校长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24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切实践行“三严三实”  努力增强和发挥基层党的组织优势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郭玉良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北方工业大学党委副书记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以党建示范点为引领，不断提升基层党组织建设科学化水平——基于黑龙江八一农垦大学食品学院的实践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王长远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黑龙江八一农垦大学</w:t>
            </w:r>
          </w:p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食品学院党委书记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落实民族区域自治制度 抓党建促团结助稳定——对做好新疆高校民族团结与党建工作的几点认识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再娜甫·尼合买提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新疆农业大学党委副书记</w:t>
            </w:r>
          </w:p>
        </w:tc>
      </w:tr>
      <w:tr w:rsidR="00373C33" w:rsidRPr="005578FD" w:rsidTr="008C42EB">
        <w:trPr>
          <w:trHeight w:val="270"/>
          <w:jc w:val="center"/>
        </w:trPr>
        <w:tc>
          <w:tcPr>
            <w:tcW w:w="803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408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/>
                <w:sz w:val="24"/>
                <w:szCs w:val="24"/>
              </w:rPr>
              <w:t>高职院校基层党组织建设的探索</w:t>
            </w:r>
          </w:p>
        </w:tc>
        <w:tc>
          <w:tcPr>
            <w:tcW w:w="939" w:type="dxa"/>
            <w:noWrap/>
            <w:vAlign w:val="center"/>
          </w:tcPr>
          <w:p w:rsidR="00373C33" w:rsidRPr="00F37C2E" w:rsidRDefault="00373C33" w:rsidP="008C42E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杨  禾</w:t>
            </w:r>
          </w:p>
        </w:tc>
        <w:tc>
          <w:tcPr>
            <w:tcW w:w="2936" w:type="dxa"/>
            <w:noWrap/>
            <w:vAlign w:val="center"/>
          </w:tcPr>
          <w:p w:rsidR="00373C33" w:rsidRPr="00F37C2E" w:rsidRDefault="00373C33" w:rsidP="008C42EB">
            <w:pPr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37C2E">
              <w:rPr>
                <w:rFonts w:ascii="仿宋_GB2312" w:eastAsia="仿宋_GB2312" w:hAnsi="仿宋" w:cs="宋体" w:hint="eastAsia"/>
                <w:sz w:val="24"/>
                <w:szCs w:val="24"/>
              </w:rPr>
              <w:t>北京财贸职业技术学院党委副书记</w:t>
            </w:r>
          </w:p>
        </w:tc>
      </w:tr>
    </w:tbl>
    <w:p w:rsidR="00373C33" w:rsidRDefault="00373C33" w:rsidP="00373C33">
      <w:pPr>
        <w:pStyle w:val="00"/>
        <w:ind w:firstLineChars="0" w:firstLine="0"/>
        <w:rPr>
          <w:rFonts w:hint="eastAsia"/>
          <w:lang w:eastAsia="zh-CN"/>
        </w:rPr>
      </w:pPr>
    </w:p>
    <w:p w:rsidR="00373C33" w:rsidRPr="00F37C2E" w:rsidRDefault="00373C33" w:rsidP="00373C33">
      <w:pPr>
        <w:pStyle w:val="00"/>
        <w:ind w:firstLineChars="0" w:firstLine="0"/>
        <w:rPr>
          <w:rFonts w:hAnsi="仿宋" w:cs="宋体" w:hint="eastAsia"/>
          <w:b/>
          <w:color w:val="auto"/>
          <w:szCs w:val="24"/>
          <w:lang w:val="en-US" w:eastAsia="zh-CN"/>
        </w:rPr>
      </w:pPr>
      <w:r w:rsidRPr="00F37C2E">
        <w:rPr>
          <w:rFonts w:hAnsi="仿宋" w:cs="宋体" w:hint="eastAsia"/>
          <w:b/>
          <w:color w:val="auto"/>
          <w:szCs w:val="24"/>
          <w:lang w:val="en-US" w:eastAsia="zh-CN"/>
        </w:rPr>
        <w:t>说明：部分课程可能有所调整，具体以培训平台发布的课程为准。</w:t>
      </w: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373C33" w:rsidRDefault="00373C33" w:rsidP="00373C33">
      <w:pPr>
        <w:ind w:firstLineChars="200" w:firstLine="482"/>
        <w:rPr>
          <w:rFonts w:ascii="仿宋_GB2312" w:eastAsia="仿宋_GB2312" w:hAnsi="仿宋" w:cs="宋体" w:hint="eastAsia"/>
          <w:b/>
          <w:sz w:val="24"/>
          <w:szCs w:val="24"/>
        </w:rPr>
      </w:pPr>
    </w:p>
    <w:p w:rsidR="00881751" w:rsidRPr="00373C33" w:rsidRDefault="00881751"/>
    <w:sectPr w:rsidR="00881751" w:rsidRPr="00373C33" w:rsidSect="001923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74" w:bottom="1440" w:left="1474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51" w:rsidRDefault="00881751" w:rsidP="00373C33">
      <w:r>
        <w:separator/>
      </w:r>
    </w:p>
  </w:endnote>
  <w:endnote w:type="continuationSeparator" w:id="1">
    <w:p w:rsidR="00881751" w:rsidRDefault="00881751" w:rsidP="0037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90" w:rsidRDefault="00881751" w:rsidP="00F8747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390" w:rsidRDefault="00881751" w:rsidP="00F8747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90" w:rsidRPr="00F87472" w:rsidRDefault="00881751" w:rsidP="0060197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F87472">
      <w:rPr>
        <w:rStyle w:val="a5"/>
        <w:rFonts w:ascii="宋体" w:hAnsi="宋体"/>
        <w:sz w:val="28"/>
        <w:szCs w:val="28"/>
      </w:rPr>
      <w:fldChar w:fldCharType="begin"/>
    </w:r>
    <w:r w:rsidRPr="00F87472">
      <w:rPr>
        <w:rStyle w:val="a5"/>
        <w:rFonts w:ascii="宋体" w:hAnsi="宋体"/>
        <w:sz w:val="28"/>
        <w:szCs w:val="28"/>
      </w:rPr>
      <w:instrText xml:space="preserve">PAGE  </w:instrText>
    </w:r>
    <w:r w:rsidRPr="00F87472">
      <w:rPr>
        <w:rStyle w:val="a5"/>
        <w:rFonts w:ascii="宋体" w:hAnsi="宋体"/>
        <w:sz w:val="28"/>
        <w:szCs w:val="28"/>
      </w:rPr>
      <w:fldChar w:fldCharType="separate"/>
    </w:r>
    <w:r w:rsidR="00373C33">
      <w:rPr>
        <w:rStyle w:val="a5"/>
        <w:rFonts w:ascii="宋体" w:hAnsi="宋体"/>
        <w:noProof/>
        <w:sz w:val="28"/>
        <w:szCs w:val="28"/>
      </w:rPr>
      <w:t>- 2 -</w:t>
    </w:r>
    <w:r w:rsidRPr="00F87472">
      <w:rPr>
        <w:rStyle w:val="a5"/>
        <w:rFonts w:ascii="宋体" w:hAnsi="宋体"/>
        <w:sz w:val="28"/>
        <w:szCs w:val="28"/>
      </w:rPr>
      <w:fldChar w:fldCharType="end"/>
    </w:r>
  </w:p>
  <w:p w:rsidR="00B60390" w:rsidRDefault="00881751" w:rsidP="00F8747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90" w:rsidRPr="00F87472" w:rsidRDefault="00881751" w:rsidP="0060197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F87472">
      <w:rPr>
        <w:rStyle w:val="a5"/>
        <w:rFonts w:ascii="宋体" w:hAnsi="宋体"/>
        <w:sz w:val="28"/>
        <w:szCs w:val="28"/>
      </w:rPr>
      <w:fldChar w:fldCharType="begin"/>
    </w:r>
    <w:r w:rsidRPr="00F87472">
      <w:rPr>
        <w:rStyle w:val="a5"/>
        <w:rFonts w:ascii="宋体" w:hAnsi="宋体"/>
        <w:sz w:val="28"/>
        <w:szCs w:val="28"/>
      </w:rPr>
      <w:instrText xml:space="preserve">PAGE  </w:instrText>
    </w:r>
    <w:r w:rsidRPr="00F87472">
      <w:rPr>
        <w:rStyle w:val="a5"/>
        <w:rFonts w:ascii="宋体" w:hAnsi="宋体"/>
        <w:sz w:val="28"/>
        <w:szCs w:val="28"/>
      </w:rPr>
      <w:fldChar w:fldCharType="separate"/>
    </w:r>
    <w:r w:rsidR="00373C33">
      <w:rPr>
        <w:rStyle w:val="a5"/>
        <w:rFonts w:ascii="宋体" w:hAnsi="宋体"/>
        <w:noProof/>
        <w:sz w:val="28"/>
        <w:szCs w:val="28"/>
      </w:rPr>
      <w:t>- 1 -</w:t>
    </w:r>
    <w:r w:rsidRPr="00F87472">
      <w:rPr>
        <w:rStyle w:val="a5"/>
        <w:rFonts w:ascii="宋体" w:hAnsi="宋体"/>
        <w:sz w:val="28"/>
        <w:szCs w:val="28"/>
      </w:rPr>
      <w:fldChar w:fldCharType="end"/>
    </w:r>
  </w:p>
  <w:p w:rsidR="00B60390" w:rsidRDefault="00881751" w:rsidP="00F8747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51" w:rsidRDefault="00881751" w:rsidP="00373C33">
      <w:r>
        <w:separator/>
      </w:r>
    </w:p>
  </w:footnote>
  <w:footnote w:type="continuationSeparator" w:id="1">
    <w:p w:rsidR="00881751" w:rsidRDefault="00881751" w:rsidP="00373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90" w:rsidRDefault="00881751" w:rsidP="00D438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C33"/>
    <w:rsid w:val="00373C33"/>
    <w:rsid w:val="0088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73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C33"/>
    <w:rPr>
      <w:sz w:val="18"/>
      <w:szCs w:val="18"/>
    </w:rPr>
  </w:style>
  <w:style w:type="paragraph" w:customStyle="1" w:styleId="00">
    <w:name w:val="00正文"/>
    <w:basedOn w:val="a"/>
    <w:link w:val="00CharChar"/>
    <w:uiPriority w:val="99"/>
    <w:rsid w:val="00373C33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lang/>
    </w:rPr>
  </w:style>
  <w:style w:type="character" w:customStyle="1" w:styleId="00CharChar">
    <w:name w:val="00正文 Char Char"/>
    <w:link w:val="00"/>
    <w:uiPriority w:val="99"/>
    <w:locked/>
    <w:rsid w:val="00373C33"/>
    <w:rPr>
      <w:rFonts w:ascii="仿宋_GB2312" w:eastAsia="仿宋_GB2312" w:hAnsi="宋体" w:cs="Times New Roman"/>
      <w:color w:val="000000"/>
      <w:sz w:val="24"/>
      <w:szCs w:val="20"/>
      <w:lang/>
    </w:rPr>
  </w:style>
  <w:style w:type="character" w:styleId="a5">
    <w:name w:val="page number"/>
    <w:basedOn w:val="a0"/>
    <w:rsid w:val="0037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china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2015-10-19T08:25:00Z</dcterms:created>
  <dcterms:modified xsi:type="dcterms:W3CDTF">2015-10-19T08:26:00Z</dcterms:modified>
</cp:coreProperties>
</file>